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6C764">
      <w:pPr>
        <w:spacing w:after="0" w:line="560" w:lineRule="exact"/>
        <w:jc w:val="both"/>
        <w:rPr>
          <w:rFonts w:hint="eastAsia" w:ascii="Times New Roman" w:hAnsi="Times New Roman" w:eastAsia="黑体" w:cstheme="minorBidi"/>
          <w:szCs w:val="32"/>
          <w:lang w:val="en-US" w:eastAsia="zh-CN"/>
        </w:rPr>
      </w:pPr>
      <w:r>
        <w:rPr>
          <w:rFonts w:hint="eastAsia" w:ascii="黑体" w:hAnsi="黑体" w:eastAsia="黑体" w:cs="黑体"/>
          <w:szCs w:val="32"/>
        </w:rPr>
        <w:t>附件</w:t>
      </w:r>
      <w:r>
        <w:rPr>
          <w:rFonts w:hint="eastAsia" w:ascii="黑体" w:hAnsi="黑体" w:eastAsia="黑体" w:cs="黑体"/>
          <w:szCs w:val="32"/>
          <w:lang w:val="en-US" w:eastAsia="zh-CN"/>
        </w:rPr>
        <w:t>5</w:t>
      </w:r>
    </w:p>
    <w:p w14:paraId="2966C765">
      <w:pPr>
        <w:keepNext w:val="0"/>
        <w:keepLines w:val="0"/>
        <w:pageBreakBefore w:val="0"/>
        <w:widowControl w:val="0"/>
        <w:kinsoku/>
        <w:wordWrap/>
        <w:overflowPunct/>
        <w:topLinePunct w:val="0"/>
        <w:autoSpaceDE/>
        <w:autoSpaceDN/>
        <w:bidi w:val="0"/>
        <w:adjustRightInd/>
        <w:snapToGrid/>
        <w:spacing w:after="120" w:line="560" w:lineRule="exact"/>
        <w:jc w:val="center"/>
        <w:textAlignment w:val="auto"/>
        <w:rPr>
          <w:rFonts w:hint="eastAsia" w:ascii="方正小标宋简体" w:hAnsi="方正小标宋简体" w:eastAsia="方正小标宋简体"/>
          <w:sz w:val="36"/>
          <w:szCs w:val="28"/>
        </w:rPr>
      </w:pPr>
      <w:r>
        <w:rPr>
          <w:rFonts w:hint="eastAsia" w:ascii="方正小标宋简体" w:hAnsi="方正小标宋简体" w:eastAsia="方正小标宋简体"/>
          <w:sz w:val="36"/>
          <w:szCs w:val="28"/>
        </w:rPr>
        <w:t>钱塘（新）区人工智能企业认定参考标准（2025年版）</w:t>
      </w:r>
    </w:p>
    <w:tbl>
      <w:tblPr>
        <w:tblStyle w:val="2"/>
        <w:tblpPr w:leftFromText="181" w:rightFromText="181" w:vertAnchor="text" w:horzAnchor="page" w:tblpX="1537" w:tblpY="1"/>
        <w:tblOverlap w:val="never"/>
        <w:tblW w:w="13969" w:type="dxa"/>
        <w:tblInd w:w="0" w:type="dxa"/>
        <w:tblLayout w:type="fixed"/>
        <w:tblCellMar>
          <w:top w:w="0" w:type="dxa"/>
          <w:left w:w="108" w:type="dxa"/>
          <w:bottom w:w="0" w:type="dxa"/>
          <w:right w:w="108" w:type="dxa"/>
        </w:tblCellMar>
      </w:tblPr>
      <w:tblGrid>
        <w:gridCol w:w="714"/>
        <w:gridCol w:w="1305"/>
        <w:gridCol w:w="3109"/>
        <w:gridCol w:w="8841"/>
      </w:tblGrid>
      <w:tr w14:paraId="710FF81C">
        <w:trPr>
          <w:trHeight w:val="400" w:hRule="atLeast"/>
        </w:trPr>
        <w:tc>
          <w:tcPr>
            <w:tcW w:w="13969" w:type="dxa"/>
            <w:gridSpan w:val="4"/>
            <w:tcBorders>
              <w:top w:val="single" w:color="000000" w:sz="4" w:space="0"/>
              <w:left w:val="single" w:color="000000" w:sz="4" w:space="0"/>
              <w:bottom w:val="single" w:color="auto" w:sz="4" w:space="0"/>
              <w:right w:val="single" w:color="000000" w:sz="4" w:space="0"/>
            </w:tcBorders>
            <w:shd w:val="clear" w:color="auto" w:fill="FFFFFF"/>
            <w:noWrap/>
            <w:vAlign w:val="center"/>
          </w:tcPr>
          <w:p w14:paraId="4EFB0494">
            <w:pPr>
              <w:widowControl/>
              <w:spacing w:after="0" w:line="560" w:lineRule="exact"/>
              <w:jc w:val="left"/>
              <w:textAlignment w:val="center"/>
              <w:rPr>
                <w:rFonts w:hint="default" w:ascii="黑体" w:hAnsi="黑体" w:eastAsia="黑体" w:cs="黑体"/>
                <w:b w:val="0"/>
                <w:bCs/>
                <w:color w:val="000000"/>
                <w:sz w:val="24"/>
                <w:lang w:val="en-US" w:eastAsia="zh-CN" w:bidi="ar"/>
              </w:rPr>
            </w:pPr>
            <w:r>
              <w:rPr>
                <w:rFonts w:hint="eastAsia" w:ascii="Times New Roman" w:hAnsi="Times New Roman" w:eastAsia="仿宋_GB2312" w:cs="Times New Roman"/>
                <w:b/>
                <w:bCs/>
                <w:color w:val="000000"/>
                <w:sz w:val="24"/>
                <w:lang w:val="en-US" w:eastAsia="zh-CN" w:bidi="ar"/>
              </w:rPr>
              <w:t>认定主体属于基本条件范围内（所属领域状况和业务形态状况均需满足），并具备认定条件中的任意一项，即认定为人工智能企业。</w:t>
            </w:r>
          </w:p>
        </w:tc>
      </w:tr>
      <w:tr w14:paraId="2966C76A">
        <w:trPr>
          <w:trHeight w:val="400" w:hRule="atLeast"/>
        </w:trPr>
        <w:tc>
          <w:tcPr>
            <w:tcW w:w="714"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2966C766">
            <w:pPr>
              <w:widowControl/>
              <w:spacing w:after="0" w:line="560" w:lineRule="exact"/>
              <w:jc w:val="center"/>
              <w:textAlignment w:val="center"/>
              <w:rPr>
                <w:rFonts w:hint="eastAsia" w:ascii="黑体" w:hAnsi="黑体" w:eastAsia="黑体" w:cs="黑体"/>
                <w:b w:val="0"/>
                <w:bCs/>
                <w:color w:val="000000"/>
                <w:sz w:val="24"/>
              </w:rPr>
            </w:pPr>
            <w:r>
              <w:rPr>
                <w:rFonts w:hint="eastAsia" w:ascii="黑体" w:hAnsi="黑体" w:eastAsia="黑体" w:cs="黑体"/>
                <w:b w:val="0"/>
                <w:bCs/>
                <w:color w:val="000000"/>
                <w:sz w:val="24"/>
                <w:lang w:bidi="ar"/>
              </w:rPr>
              <w:t>条件</w:t>
            </w:r>
          </w:p>
        </w:tc>
        <w:tc>
          <w:tcPr>
            <w:tcW w:w="1305" w:type="dxa"/>
            <w:tcBorders>
              <w:top w:val="single" w:color="000000" w:sz="4" w:space="0"/>
              <w:left w:val="nil"/>
              <w:bottom w:val="single" w:color="auto" w:sz="4" w:space="0"/>
              <w:right w:val="single" w:color="000000" w:sz="4" w:space="0"/>
            </w:tcBorders>
            <w:shd w:val="clear" w:color="auto" w:fill="FFFFFF"/>
            <w:noWrap/>
            <w:vAlign w:val="center"/>
          </w:tcPr>
          <w:p w14:paraId="2966C767">
            <w:pPr>
              <w:widowControl/>
              <w:spacing w:after="0" w:line="560" w:lineRule="exact"/>
              <w:jc w:val="center"/>
              <w:textAlignment w:val="center"/>
              <w:rPr>
                <w:rFonts w:hint="eastAsia" w:ascii="黑体" w:hAnsi="黑体" w:eastAsia="黑体" w:cs="黑体"/>
                <w:b w:val="0"/>
                <w:bCs/>
                <w:color w:val="000000"/>
                <w:sz w:val="24"/>
              </w:rPr>
            </w:pPr>
            <w:r>
              <w:rPr>
                <w:rFonts w:hint="eastAsia" w:ascii="黑体" w:hAnsi="黑体" w:eastAsia="黑体" w:cs="黑体"/>
                <w:b w:val="0"/>
                <w:bCs/>
                <w:color w:val="000000"/>
                <w:sz w:val="24"/>
                <w:lang w:bidi="ar"/>
              </w:rPr>
              <w:t>指标类型</w:t>
            </w:r>
          </w:p>
        </w:tc>
        <w:tc>
          <w:tcPr>
            <w:tcW w:w="3109" w:type="dxa"/>
            <w:tcBorders>
              <w:top w:val="single" w:color="000000" w:sz="4" w:space="0"/>
              <w:left w:val="nil"/>
              <w:bottom w:val="single" w:color="auto" w:sz="4" w:space="0"/>
              <w:right w:val="single" w:color="000000" w:sz="4" w:space="0"/>
            </w:tcBorders>
            <w:shd w:val="clear" w:color="auto" w:fill="FFFFFF"/>
            <w:noWrap/>
            <w:vAlign w:val="center"/>
          </w:tcPr>
          <w:p w14:paraId="2966C768">
            <w:pPr>
              <w:widowControl/>
              <w:spacing w:after="0" w:line="560" w:lineRule="exact"/>
              <w:jc w:val="center"/>
              <w:textAlignment w:val="center"/>
              <w:rPr>
                <w:rFonts w:hint="eastAsia" w:ascii="黑体" w:hAnsi="黑体" w:eastAsia="黑体" w:cs="黑体"/>
                <w:b w:val="0"/>
                <w:bCs/>
                <w:color w:val="000000"/>
                <w:sz w:val="24"/>
              </w:rPr>
            </w:pPr>
            <w:r>
              <w:rPr>
                <w:rFonts w:hint="eastAsia" w:ascii="黑体" w:hAnsi="黑体" w:eastAsia="黑体" w:cs="黑体"/>
                <w:b w:val="0"/>
                <w:bCs/>
                <w:color w:val="000000"/>
                <w:sz w:val="24"/>
                <w:lang w:bidi="ar"/>
              </w:rPr>
              <w:t>指标内容</w:t>
            </w:r>
          </w:p>
        </w:tc>
        <w:tc>
          <w:tcPr>
            <w:tcW w:w="8841" w:type="dxa"/>
            <w:tcBorders>
              <w:top w:val="single" w:color="000000" w:sz="4" w:space="0"/>
              <w:left w:val="nil"/>
              <w:bottom w:val="single" w:color="auto" w:sz="4" w:space="0"/>
              <w:right w:val="single" w:color="000000" w:sz="4" w:space="0"/>
            </w:tcBorders>
            <w:shd w:val="clear" w:color="auto" w:fill="FFFFFF"/>
            <w:noWrap/>
            <w:vAlign w:val="center"/>
          </w:tcPr>
          <w:p w14:paraId="2966C769">
            <w:pPr>
              <w:widowControl/>
              <w:spacing w:after="0" w:line="560" w:lineRule="exact"/>
              <w:jc w:val="center"/>
              <w:textAlignment w:val="center"/>
              <w:rPr>
                <w:rFonts w:hint="eastAsia" w:ascii="黑体" w:hAnsi="黑体" w:eastAsia="黑体" w:cs="黑体"/>
                <w:b w:val="0"/>
                <w:bCs/>
                <w:color w:val="000000"/>
                <w:sz w:val="24"/>
              </w:rPr>
            </w:pPr>
            <w:r>
              <w:rPr>
                <w:rFonts w:hint="eastAsia" w:ascii="黑体" w:hAnsi="黑体" w:eastAsia="黑体" w:cs="黑体"/>
                <w:b w:val="0"/>
                <w:bCs/>
                <w:color w:val="000000"/>
                <w:sz w:val="24"/>
                <w:lang w:bidi="ar"/>
              </w:rPr>
              <w:t>评价标准</w:t>
            </w:r>
          </w:p>
        </w:tc>
      </w:tr>
      <w:tr w14:paraId="2966C771">
        <w:trPr>
          <w:trHeight w:val="3620" w:hRule="atLeast"/>
        </w:trPr>
        <w:tc>
          <w:tcPr>
            <w:tcW w:w="714" w:type="dxa"/>
            <w:vMerge w:val="restart"/>
            <w:tcBorders>
              <w:top w:val="nil"/>
              <w:left w:val="single" w:color="auto" w:sz="4" w:space="0"/>
              <w:bottom w:val="single" w:color="auto" w:sz="4" w:space="0"/>
              <w:right w:val="single" w:color="auto" w:sz="4" w:space="0"/>
            </w:tcBorders>
            <w:shd w:val="clear" w:color="auto" w:fill="FFFFFF"/>
            <w:vAlign w:val="center"/>
          </w:tcPr>
          <w:p w14:paraId="2966C76B">
            <w:pPr>
              <w:widowControl/>
              <w:spacing w:after="0" w:line="560" w:lineRule="exact"/>
              <w:jc w:val="center"/>
              <w:textAlignment w:val="center"/>
              <w:rPr>
                <w:rFonts w:ascii="Times New Roman" w:hAnsi="Times New Roman" w:eastAsia="仿宋_GB2312" w:cs="Times New Roman"/>
                <w:bCs/>
                <w:color w:val="000000"/>
                <w:sz w:val="24"/>
              </w:rPr>
            </w:pPr>
            <w:r>
              <w:rPr>
                <w:rFonts w:hint="eastAsia" w:ascii="Times New Roman" w:hAnsi="Times New Roman" w:eastAsia="仿宋_GB2312" w:cs="Times New Roman"/>
                <w:bCs/>
                <w:color w:val="000000"/>
                <w:sz w:val="24"/>
              </w:rPr>
              <w:t>基本条件</w:t>
            </w:r>
          </w:p>
        </w:tc>
        <w:tc>
          <w:tcPr>
            <w:tcW w:w="1305" w:type="dxa"/>
            <w:tcBorders>
              <w:top w:val="single" w:color="auto" w:sz="4" w:space="0"/>
              <w:left w:val="nil"/>
              <w:bottom w:val="single" w:color="auto" w:sz="4" w:space="0"/>
              <w:right w:val="single" w:color="auto" w:sz="4" w:space="0"/>
            </w:tcBorders>
            <w:shd w:val="clear" w:color="auto" w:fill="FFFFFF"/>
            <w:vAlign w:val="center"/>
          </w:tcPr>
          <w:p w14:paraId="2966C76C">
            <w:pPr>
              <w:widowControl/>
              <w:spacing w:after="0" w:line="560" w:lineRule="exact"/>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lang w:bidi="ar"/>
              </w:rPr>
              <w:t>所属领域状况</w:t>
            </w:r>
          </w:p>
        </w:tc>
        <w:tc>
          <w:tcPr>
            <w:tcW w:w="3109" w:type="dxa"/>
            <w:tcBorders>
              <w:top w:val="single" w:color="auto" w:sz="4" w:space="0"/>
              <w:left w:val="nil"/>
              <w:bottom w:val="single" w:color="auto" w:sz="4" w:space="0"/>
              <w:right w:val="single" w:color="auto" w:sz="4" w:space="0"/>
            </w:tcBorders>
            <w:shd w:val="clear" w:color="auto" w:fill="FFFFFF"/>
            <w:vAlign w:val="center"/>
          </w:tcPr>
          <w:p w14:paraId="2966C76D">
            <w:pPr>
              <w:widowControl/>
              <w:spacing w:after="0" w:line="560" w:lineRule="exact"/>
              <w:jc w:val="both"/>
              <w:textAlignment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bidi="ar"/>
              </w:rPr>
              <w:t>认定主体</w:t>
            </w:r>
            <w:r>
              <w:rPr>
                <w:rFonts w:ascii="Times New Roman" w:hAnsi="Times New Roman" w:eastAsia="仿宋_GB2312" w:cs="Times New Roman"/>
                <w:color w:val="000000"/>
                <w:sz w:val="24"/>
                <w:lang w:bidi="ar"/>
              </w:rPr>
              <w:t>至少满足支撑人工智能开发与应用的基础层、技术层和应用层三个领域其中之一</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2966C76E">
            <w:pPr>
              <w:widowControl/>
              <w:spacing w:after="0" w:line="560" w:lineRule="exact"/>
              <w:jc w:val="both"/>
              <w:textAlignment w:val="center"/>
              <w:rPr>
                <w:rFonts w:ascii="Times New Roman" w:hAnsi="Times New Roman" w:eastAsia="仿宋_GB2312" w:cs="Times New Roman"/>
                <w:color w:val="000000"/>
                <w:sz w:val="24"/>
                <w:lang w:bidi="ar"/>
              </w:rPr>
            </w:pPr>
            <w:r>
              <w:rPr>
                <w:rFonts w:ascii="Times New Roman" w:hAnsi="Times New Roman" w:eastAsia="仿宋_GB2312" w:cs="Times New Roman"/>
                <w:b/>
                <w:color w:val="000000"/>
                <w:sz w:val="24"/>
                <w:lang w:bidi="ar"/>
              </w:rPr>
              <w:t>基础层</w:t>
            </w:r>
            <w:r>
              <w:rPr>
                <w:rFonts w:ascii="Times New Roman" w:hAnsi="Times New Roman" w:eastAsia="仿宋_GB2312" w:cs="Times New Roman"/>
                <w:color w:val="000000"/>
                <w:sz w:val="24"/>
                <w:lang w:bidi="ar"/>
              </w:rPr>
              <w:t>是支</w:t>
            </w:r>
            <w:bookmarkStart w:id="0" w:name="_GoBack"/>
            <w:bookmarkEnd w:id="0"/>
            <w:r>
              <w:rPr>
                <w:rFonts w:ascii="Times New Roman" w:hAnsi="Times New Roman" w:eastAsia="仿宋_GB2312" w:cs="Times New Roman"/>
                <w:color w:val="000000"/>
                <w:sz w:val="24"/>
                <w:lang w:bidi="ar"/>
              </w:rPr>
              <w:t>撑人工智能开发与应用底层通用基础设施，包括人工智能算力基础（包括</w:t>
            </w:r>
            <w:r>
              <w:rPr>
                <w:rFonts w:hint="eastAsia" w:ascii="Times New Roman" w:hAnsi="Times New Roman" w:eastAsia="仿宋_GB2312" w:cs="Times New Roman"/>
                <w:color w:val="000000"/>
                <w:sz w:val="24"/>
                <w:lang w:bidi="ar"/>
              </w:rPr>
              <w:t>AI</w:t>
            </w:r>
            <w:r>
              <w:rPr>
                <w:rFonts w:ascii="Times New Roman" w:hAnsi="Times New Roman" w:eastAsia="仿宋_GB2312" w:cs="Times New Roman"/>
                <w:color w:val="000000"/>
                <w:sz w:val="24"/>
                <w:lang w:bidi="ar"/>
              </w:rPr>
              <w:t>芯片、智能服务器、智能云服务等）、人工智能模型生产工具（包括</w:t>
            </w:r>
            <w:r>
              <w:rPr>
                <w:rFonts w:hint="eastAsia" w:ascii="Times New Roman" w:hAnsi="Times New Roman" w:eastAsia="仿宋_GB2312" w:cs="Times New Roman"/>
                <w:color w:val="000000"/>
                <w:sz w:val="24"/>
                <w:lang w:bidi="ar"/>
              </w:rPr>
              <w:t>AI</w:t>
            </w:r>
            <w:r>
              <w:rPr>
                <w:rFonts w:ascii="Times New Roman" w:hAnsi="Times New Roman" w:eastAsia="仿宋_GB2312" w:cs="Times New Roman"/>
                <w:color w:val="000000"/>
                <w:sz w:val="24"/>
                <w:lang w:bidi="ar"/>
              </w:rPr>
              <w:t>算法框架、</w:t>
            </w:r>
            <w:r>
              <w:rPr>
                <w:rFonts w:hint="eastAsia" w:ascii="Times New Roman" w:hAnsi="Times New Roman" w:eastAsia="仿宋_GB2312" w:cs="Times New Roman"/>
                <w:color w:val="000000"/>
                <w:sz w:val="24"/>
                <w:lang w:bidi="ar"/>
              </w:rPr>
              <w:t>AI</w:t>
            </w:r>
            <w:r>
              <w:rPr>
                <w:rFonts w:ascii="Times New Roman" w:hAnsi="Times New Roman" w:eastAsia="仿宋_GB2312" w:cs="Times New Roman"/>
                <w:color w:val="000000"/>
                <w:sz w:val="24"/>
                <w:lang w:bidi="ar"/>
              </w:rPr>
              <w:t>开放平台、基础大模型、深度学习模型等）和人工智能数据资源（包括</w:t>
            </w:r>
            <w:r>
              <w:rPr>
                <w:rFonts w:hint="eastAsia" w:ascii="Times New Roman" w:hAnsi="Times New Roman" w:eastAsia="仿宋_GB2312" w:cs="Times New Roman"/>
                <w:color w:val="000000"/>
                <w:sz w:val="24"/>
                <w:lang w:bidi="ar"/>
              </w:rPr>
              <w:t>AI</w:t>
            </w:r>
            <w:r>
              <w:rPr>
                <w:rFonts w:ascii="Times New Roman" w:hAnsi="Times New Roman" w:eastAsia="仿宋_GB2312" w:cs="Times New Roman"/>
                <w:color w:val="000000"/>
                <w:sz w:val="24"/>
                <w:lang w:bidi="ar"/>
              </w:rPr>
              <w:t>基础数据服务、数据处理与分析、数据治理等）。</w:t>
            </w:r>
          </w:p>
          <w:p w14:paraId="2966C76F">
            <w:pPr>
              <w:widowControl/>
              <w:spacing w:after="0" w:line="560" w:lineRule="exact"/>
              <w:jc w:val="both"/>
              <w:textAlignment w:val="center"/>
              <w:rPr>
                <w:rFonts w:ascii="Times New Roman" w:hAnsi="Times New Roman" w:eastAsia="仿宋_GB2312" w:cs="Times New Roman"/>
                <w:color w:val="000000"/>
                <w:sz w:val="24"/>
                <w:lang w:bidi="ar"/>
              </w:rPr>
            </w:pPr>
            <w:r>
              <w:rPr>
                <w:rFonts w:ascii="Times New Roman" w:hAnsi="Times New Roman" w:eastAsia="仿宋_GB2312" w:cs="Times New Roman"/>
                <w:b/>
                <w:color w:val="000000"/>
                <w:sz w:val="24"/>
                <w:lang w:bidi="ar"/>
              </w:rPr>
              <w:t>技术层</w:t>
            </w:r>
            <w:r>
              <w:rPr>
                <w:rFonts w:ascii="Times New Roman" w:hAnsi="Times New Roman" w:eastAsia="仿宋_GB2312" w:cs="Times New Roman"/>
                <w:color w:val="000000"/>
                <w:sz w:val="24"/>
                <w:lang w:bidi="ar"/>
              </w:rPr>
              <w:t>是用于人工智能开发的平台或工具，包括机器视觉、智能语音、自然语言处理、机器学习、知识图谱、AI Agent、具身智能等。</w:t>
            </w:r>
          </w:p>
          <w:p w14:paraId="2966C770">
            <w:pPr>
              <w:widowControl/>
              <w:spacing w:after="0" w:line="560" w:lineRule="exact"/>
              <w:jc w:val="both"/>
              <w:textAlignment w:val="center"/>
              <w:rPr>
                <w:rFonts w:ascii="Times New Roman" w:hAnsi="Times New Roman" w:eastAsia="仿宋_GB2312" w:cs="Times New Roman"/>
                <w:color w:val="000000"/>
                <w:sz w:val="24"/>
              </w:rPr>
            </w:pPr>
            <w:r>
              <w:rPr>
                <w:rFonts w:ascii="Times New Roman" w:hAnsi="Times New Roman" w:eastAsia="仿宋_GB2312" w:cs="Times New Roman"/>
                <w:b/>
                <w:color w:val="000000"/>
                <w:sz w:val="24"/>
                <w:lang w:bidi="ar"/>
              </w:rPr>
              <w:t>应用层</w:t>
            </w:r>
            <w:r>
              <w:rPr>
                <w:rFonts w:ascii="Times New Roman" w:hAnsi="Times New Roman" w:eastAsia="仿宋_GB2312" w:cs="Times New Roman"/>
                <w:color w:val="000000"/>
                <w:sz w:val="24"/>
                <w:lang w:bidi="ar"/>
              </w:rPr>
              <w:t>是指结合一种或多种人工智能技术与具体业务场景而形成的业务解决方案，是将人工智能算力、算法和数据三要素应用于经济、社会和国防军事安全等层面所形成的经济智能、社会智能和智能军事应用等，包括AI+（泛互联网、泛安防、金融、政务、工业、零售、医疗、物流、AIGC、人机交互、自主无人系统、具身智能系统等）和+AI（智能机器人、智能网联汽车、智能终端、脑科学与类脑智能等）。</w:t>
            </w:r>
          </w:p>
        </w:tc>
      </w:tr>
      <w:tr w14:paraId="2966C77A">
        <w:trPr>
          <w:trHeight w:val="3447" w:hRule="atLeast"/>
        </w:trPr>
        <w:tc>
          <w:tcPr>
            <w:tcW w:w="714" w:type="dxa"/>
            <w:vMerge w:val="continue"/>
            <w:tcBorders>
              <w:top w:val="nil"/>
              <w:left w:val="single" w:color="auto" w:sz="4" w:space="0"/>
              <w:bottom w:val="single" w:color="000000" w:sz="4" w:space="0"/>
              <w:right w:val="single" w:color="auto" w:sz="4" w:space="0"/>
            </w:tcBorders>
            <w:shd w:val="clear" w:color="auto" w:fill="FFFFFF"/>
            <w:vAlign w:val="center"/>
          </w:tcPr>
          <w:p w14:paraId="2966C772">
            <w:pPr>
              <w:spacing w:after="0" w:line="560" w:lineRule="exact"/>
              <w:rPr>
                <w:rFonts w:ascii="Times New Roman" w:hAnsi="Times New Roman" w:eastAsia="宋体" w:cs="Times New Roman"/>
                <w:sz w:val="20"/>
                <w:szCs w:val="20"/>
              </w:rPr>
            </w:pPr>
          </w:p>
        </w:tc>
        <w:tc>
          <w:tcPr>
            <w:tcW w:w="1305" w:type="dxa"/>
            <w:tcBorders>
              <w:top w:val="single" w:color="auto" w:sz="4" w:space="0"/>
              <w:left w:val="nil"/>
              <w:bottom w:val="single" w:color="000000" w:sz="4" w:space="0"/>
              <w:right w:val="single" w:color="auto" w:sz="4" w:space="0"/>
            </w:tcBorders>
            <w:shd w:val="clear" w:color="auto" w:fill="FFFFFF"/>
            <w:vAlign w:val="center"/>
          </w:tcPr>
          <w:p w14:paraId="2966C773">
            <w:pPr>
              <w:widowControl/>
              <w:spacing w:after="0" w:line="560" w:lineRule="exact"/>
              <w:jc w:val="center"/>
              <w:textAlignment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bidi="ar"/>
              </w:rPr>
              <w:t>业务形态</w:t>
            </w:r>
            <w:r>
              <w:rPr>
                <w:rFonts w:ascii="Times New Roman" w:hAnsi="Times New Roman" w:eastAsia="仿宋_GB2312" w:cs="Times New Roman"/>
                <w:color w:val="000000"/>
                <w:sz w:val="24"/>
                <w:lang w:bidi="ar"/>
              </w:rPr>
              <w:t>状况</w:t>
            </w:r>
          </w:p>
        </w:tc>
        <w:tc>
          <w:tcPr>
            <w:tcW w:w="3109" w:type="dxa"/>
            <w:tcBorders>
              <w:top w:val="single" w:color="auto" w:sz="4" w:space="0"/>
              <w:left w:val="nil"/>
              <w:bottom w:val="single" w:color="auto" w:sz="4" w:space="0"/>
              <w:right w:val="single" w:color="auto" w:sz="4" w:space="0"/>
            </w:tcBorders>
            <w:shd w:val="clear" w:color="auto" w:fill="FFFFFF"/>
            <w:vAlign w:val="center"/>
          </w:tcPr>
          <w:p w14:paraId="2966C774">
            <w:pPr>
              <w:widowControl/>
              <w:spacing w:after="0" w:line="560" w:lineRule="exact"/>
              <w:jc w:val="both"/>
              <w:textAlignment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bidi="ar"/>
              </w:rPr>
              <w:t>认定主体</w:t>
            </w:r>
            <w:r>
              <w:rPr>
                <w:rFonts w:ascii="Times New Roman" w:hAnsi="Times New Roman" w:eastAsia="仿宋_GB2312" w:cs="Times New Roman"/>
                <w:color w:val="000000"/>
                <w:sz w:val="24"/>
                <w:lang w:bidi="ar"/>
              </w:rPr>
              <w:t>所采用的核心技术属于支撑技术与产品、基础软硬件平台、关键通用技术、关键领域技术四个类型中的一种或多种</w:t>
            </w:r>
            <w:r>
              <w:rPr>
                <w:rFonts w:hint="eastAsia" w:ascii="Times New Roman" w:hAnsi="Times New Roman" w:eastAsia="仿宋_GB2312" w:cs="Times New Roman"/>
                <w:color w:val="000000"/>
                <w:sz w:val="24"/>
                <w:lang w:bidi="ar"/>
              </w:rPr>
              <w:t>，或从事人工智能相关领域的测试类、中试类等服务型企业</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2966C775">
            <w:pPr>
              <w:widowControl/>
              <w:spacing w:after="0" w:line="560" w:lineRule="exact"/>
              <w:jc w:val="both"/>
              <w:textAlignment w:val="center"/>
              <w:rPr>
                <w:rFonts w:ascii="Times New Roman" w:hAnsi="Times New Roman" w:eastAsia="仿宋_GB2312" w:cs="Times New Roman"/>
                <w:bCs/>
                <w:color w:val="000000"/>
                <w:sz w:val="24"/>
                <w:lang w:bidi="ar"/>
              </w:rPr>
            </w:pPr>
            <w:r>
              <w:rPr>
                <w:rFonts w:ascii="Times New Roman" w:hAnsi="Times New Roman" w:eastAsia="仿宋_GB2312" w:cs="Times New Roman"/>
                <w:b/>
                <w:color w:val="000000"/>
                <w:sz w:val="24"/>
                <w:lang w:bidi="ar"/>
              </w:rPr>
              <w:t>支撑技术与产品</w:t>
            </w:r>
            <w:r>
              <w:rPr>
                <w:rFonts w:ascii="Times New Roman" w:hAnsi="Times New Roman" w:eastAsia="仿宋_GB2312" w:cs="Times New Roman"/>
                <w:bCs/>
                <w:color w:val="000000"/>
                <w:sz w:val="24"/>
                <w:lang w:bidi="ar"/>
              </w:rPr>
              <w:t>主要包括云计算、边缘计算、智能传感器、数据存储及传输设备等。</w:t>
            </w:r>
          </w:p>
          <w:p w14:paraId="2966C776">
            <w:pPr>
              <w:widowControl/>
              <w:spacing w:after="0" w:line="560" w:lineRule="exact"/>
              <w:jc w:val="both"/>
              <w:textAlignment w:val="center"/>
              <w:rPr>
                <w:rFonts w:ascii="Times New Roman" w:hAnsi="Times New Roman" w:eastAsia="仿宋_GB2312" w:cs="Times New Roman"/>
                <w:bCs/>
                <w:color w:val="000000"/>
                <w:sz w:val="24"/>
                <w:lang w:bidi="ar"/>
              </w:rPr>
            </w:pPr>
            <w:r>
              <w:rPr>
                <w:rFonts w:ascii="Times New Roman" w:hAnsi="Times New Roman" w:eastAsia="仿宋_GB2312" w:cs="Times New Roman"/>
                <w:b/>
                <w:color w:val="000000"/>
                <w:sz w:val="24"/>
                <w:lang w:bidi="ar"/>
              </w:rPr>
              <w:t>基础软硬件平台</w:t>
            </w:r>
            <w:r>
              <w:rPr>
                <w:rFonts w:ascii="Times New Roman" w:hAnsi="Times New Roman" w:eastAsia="仿宋_GB2312" w:cs="Times New Roman"/>
                <w:bCs/>
                <w:color w:val="000000"/>
                <w:sz w:val="24"/>
                <w:lang w:bidi="ar"/>
              </w:rPr>
              <w:t>主要包括智能芯片、系统软件、开发框架等。</w:t>
            </w:r>
          </w:p>
          <w:p w14:paraId="2966C777">
            <w:pPr>
              <w:widowControl/>
              <w:spacing w:after="0" w:line="560" w:lineRule="exact"/>
              <w:jc w:val="both"/>
              <w:textAlignment w:val="center"/>
              <w:rPr>
                <w:rFonts w:ascii="Times New Roman" w:hAnsi="Times New Roman" w:eastAsia="仿宋_GB2312" w:cs="Times New Roman"/>
                <w:bCs/>
                <w:color w:val="000000"/>
                <w:sz w:val="24"/>
                <w:lang w:bidi="ar"/>
              </w:rPr>
            </w:pPr>
            <w:r>
              <w:rPr>
                <w:rFonts w:ascii="Times New Roman" w:hAnsi="Times New Roman" w:eastAsia="仿宋_GB2312" w:cs="Times New Roman"/>
                <w:b/>
                <w:color w:val="000000"/>
                <w:sz w:val="24"/>
                <w:lang w:bidi="ar"/>
              </w:rPr>
              <w:t>关键通用技术</w:t>
            </w:r>
            <w:r>
              <w:rPr>
                <w:rFonts w:ascii="Times New Roman" w:hAnsi="Times New Roman" w:eastAsia="仿宋_GB2312" w:cs="Times New Roman"/>
                <w:bCs/>
                <w:color w:val="000000"/>
                <w:sz w:val="24"/>
                <w:lang w:bidi="ar"/>
              </w:rPr>
              <w:t>主要包括大模型、机器学习、知识图谱、类脑智能计算模式识别等。</w:t>
            </w:r>
          </w:p>
          <w:p w14:paraId="2966C778">
            <w:pPr>
              <w:widowControl/>
              <w:spacing w:after="0" w:line="560" w:lineRule="exact"/>
              <w:jc w:val="both"/>
              <w:textAlignment w:val="center"/>
              <w:rPr>
                <w:rFonts w:ascii="Times New Roman" w:hAnsi="Times New Roman" w:eastAsia="仿宋_GB2312" w:cs="Times New Roman"/>
                <w:bCs/>
                <w:color w:val="000000"/>
                <w:sz w:val="24"/>
                <w:lang w:bidi="ar"/>
              </w:rPr>
            </w:pPr>
            <w:r>
              <w:rPr>
                <w:rFonts w:ascii="Times New Roman" w:hAnsi="Times New Roman" w:eastAsia="仿宋_GB2312" w:cs="Times New Roman"/>
                <w:b/>
                <w:color w:val="000000"/>
                <w:sz w:val="24"/>
                <w:lang w:bidi="ar"/>
              </w:rPr>
              <w:t>关键领域技术</w:t>
            </w:r>
            <w:r>
              <w:rPr>
                <w:rFonts w:ascii="Times New Roman" w:hAnsi="Times New Roman" w:eastAsia="仿宋_GB2312" w:cs="Times New Roman"/>
                <w:bCs/>
                <w:color w:val="000000"/>
                <w:sz w:val="24"/>
                <w:lang w:bidi="ar"/>
              </w:rPr>
              <w:t>主要包括自然语言处理、智能语音、计算机视觉、生物特征识别、虚拟现实/增强现实/混合现实、人机交互、专家系统、具身智能等。</w:t>
            </w:r>
          </w:p>
          <w:p w14:paraId="2966C779">
            <w:pPr>
              <w:widowControl/>
              <w:spacing w:after="0" w:line="560" w:lineRule="exact"/>
              <w:jc w:val="both"/>
              <w:textAlignment w:val="center"/>
            </w:pPr>
            <w:r>
              <w:rPr>
                <w:rFonts w:ascii="Times New Roman" w:hAnsi="Times New Roman" w:eastAsia="仿宋_GB2312" w:cs="Times New Roman"/>
                <w:b/>
                <w:color w:val="000000"/>
                <w:sz w:val="24"/>
                <w:lang w:bidi="ar"/>
              </w:rPr>
              <w:t>从事人工智能相关领域的测试类、中试类等服务型企业</w:t>
            </w:r>
            <w:r>
              <w:rPr>
                <w:rFonts w:ascii="Times New Roman" w:hAnsi="Times New Roman" w:eastAsia="仿宋_GB2312" w:cs="Times New Roman"/>
                <w:bCs/>
                <w:color w:val="000000"/>
                <w:sz w:val="24"/>
                <w:lang w:bidi="ar"/>
              </w:rPr>
              <w:t>主要包括面向人工智能基础层、技术层和应用层，提供关键技术检验验证与产业化转化服务的企业。其中，测试类服务主要包括人工智能算力跑分、数据质量与合规评估、算法模型安全验证与性能评测、系统仿真测试等；中试类服务主要包括针对智能硬件、传感器及人工智能赋能终端的工程化开发、工艺验证、可靠性测试与小批量试制等平台化服务。</w:t>
            </w:r>
          </w:p>
        </w:tc>
      </w:tr>
      <w:tr w14:paraId="2966C77F">
        <w:trPr>
          <w:trHeight w:val="650" w:hRule="atLeast"/>
        </w:trPr>
        <w:tc>
          <w:tcPr>
            <w:tcW w:w="7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66C77B">
            <w:pPr>
              <w:widowControl/>
              <w:spacing w:after="0" w:line="560" w:lineRule="exact"/>
              <w:jc w:val="both"/>
              <w:textAlignment w:val="center"/>
              <w:rPr>
                <w:rFonts w:ascii="Times New Roman" w:hAnsi="Times New Roman" w:eastAsia="仿宋_GB2312" w:cs="Times New Roman"/>
                <w:bCs/>
                <w:color w:val="000000"/>
                <w:sz w:val="24"/>
              </w:rPr>
            </w:pPr>
            <w:r>
              <w:rPr>
                <w:rFonts w:hint="eastAsia" w:ascii="Times New Roman" w:hAnsi="Times New Roman" w:eastAsia="仿宋_GB2312" w:cs="Times New Roman"/>
                <w:bCs/>
                <w:color w:val="000000"/>
                <w:sz w:val="24"/>
              </w:rPr>
              <w:t>认定条件</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6C77C">
            <w:pPr>
              <w:widowControl/>
              <w:spacing w:after="0" w:line="560" w:lineRule="exact"/>
              <w:jc w:val="center"/>
              <w:textAlignment w:val="center"/>
              <w:rPr>
                <w:rFonts w:ascii="Times New Roman" w:hAnsi="Times New Roman" w:eastAsia="仿宋_GB2312" w:cs="Times New Roman"/>
                <w:strike/>
                <w:color w:val="000000"/>
                <w:sz w:val="24"/>
              </w:rPr>
            </w:pPr>
            <w:r>
              <w:rPr>
                <w:rFonts w:hint="eastAsia" w:ascii="Times New Roman" w:hAnsi="Times New Roman" w:eastAsia="仿宋_GB2312" w:cs="Times New Roman"/>
                <w:color w:val="000000"/>
                <w:sz w:val="24"/>
                <w:lang w:bidi="ar"/>
              </w:rPr>
              <w:t>重大项目</w:t>
            </w:r>
          </w:p>
        </w:tc>
        <w:tc>
          <w:tcPr>
            <w:tcW w:w="3109" w:type="dxa"/>
            <w:tcBorders>
              <w:top w:val="single" w:color="auto" w:sz="4" w:space="0"/>
              <w:left w:val="single" w:color="000000" w:sz="4" w:space="0"/>
              <w:bottom w:val="single" w:color="auto" w:sz="4" w:space="0"/>
              <w:right w:val="single" w:color="auto" w:sz="4" w:space="0"/>
            </w:tcBorders>
            <w:shd w:val="clear" w:color="auto" w:fill="FFFFFF"/>
            <w:vAlign w:val="center"/>
          </w:tcPr>
          <w:p w14:paraId="2966C77D">
            <w:pPr>
              <w:widowControl/>
              <w:spacing w:after="0" w:line="560" w:lineRule="exact"/>
              <w:jc w:val="both"/>
              <w:textAlignment w:val="center"/>
              <w:rPr>
                <w:rFonts w:ascii="Times New Roman" w:hAnsi="Times New Roman" w:eastAsia="仿宋_GB2312" w:cs="Times New Roman"/>
                <w:strike/>
                <w:color w:val="000000"/>
                <w:sz w:val="24"/>
              </w:rPr>
            </w:pPr>
            <w:r>
              <w:rPr>
                <w:rFonts w:ascii="Times New Roman" w:hAnsi="Times New Roman" w:eastAsia="仿宋_GB2312" w:cs="Times New Roman"/>
                <w:color w:val="000000"/>
                <w:sz w:val="24"/>
                <w:lang w:bidi="ar"/>
              </w:rPr>
              <w:t>指</w:t>
            </w:r>
            <w:r>
              <w:rPr>
                <w:rFonts w:hint="eastAsia" w:ascii="Times New Roman" w:hAnsi="Times New Roman" w:eastAsia="仿宋_GB2312" w:cs="Times New Roman"/>
                <w:color w:val="000000"/>
                <w:sz w:val="24"/>
                <w:lang w:bidi="ar"/>
              </w:rPr>
              <w:t>认定主体</w:t>
            </w:r>
            <w:r>
              <w:rPr>
                <w:rFonts w:ascii="Times New Roman" w:hAnsi="Times New Roman" w:eastAsia="仿宋_GB2312" w:cs="Times New Roman"/>
                <w:color w:val="000000"/>
                <w:sz w:val="24"/>
                <w:lang w:bidi="ar"/>
              </w:rPr>
              <w:t>在区内落地的重大招商引资项目</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2966C77E">
            <w:pPr>
              <w:widowControl/>
              <w:spacing w:after="0" w:line="560" w:lineRule="exact"/>
              <w:jc w:val="both"/>
              <w:textAlignment w:val="center"/>
              <w:rPr>
                <w:rFonts w:ascii="Times New Roman" w:hAnsi="Times New Roman" w:eastAsia="仿宋_GB2312" w:cs="Times New Roman"/>
                <w:strike/>
                <w:color w:val="000000"/>
                <w:sz w:val="24"/>
              </w:rPr>
            </w:pPr>
            <w:r>
              <w:rPr>
                <w:rFonts w:ascii="Times New Roman" w:hAnsi="Times New Roman" w:eastAsia="仿宋_GB2312" w:cs="Times New Roman"/>
                <w:color w:val="000000"/>
                <w:sz w:val="24"/>
                <w:lang w:bidi="ar"/>
              </w:rPr>
              <w:t>亿元级别签约项目，且需提供在区内实际发生的固定资产投资凭证（审计报告或发票等），固投须达到1000万元及以上。</w:t>
            </w:r>
          </w:p>
        </w:tc>
      </w:tr>
      <w:tr w14:paraId="2966C785">
        <w:trPr>
          <w:trHeight w:val="650" w:hRule="atLeast"/>
        </w:trPr>
        <w:tc>
          <w:tcPr>
            <w:tcW w:w="7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6C780">
            <w:pPr>
              <w:widowControl/>
              <w:spacing w:after="0" w:line="560" w:lineRule="exact"/>
              <w:jc w:val="center"/>
              <w:textAlignment w:val="center"/>
              <w:rPr>
                <w:rFonts w:ascii="Times New Roman" w:hAnsi="Times New Roman" w:eastAsia="仿宋_GB2312" w:cs="Times New Roman"/>
                <w:bCs/>
                <w:color w:val="000000"/>
                <w:sz w:val="24"/>
              </w:rPr>
            </w:pP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6C781">
            <w:pPr>
              <w:widowControl/>
              <w:spacing w:after="0" w:line="560" w:lineRule="exact"/>
              <w:jc w:val="center"/>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融资状况</w:t>
            </w:r>
          </w:p>
        </w:tc>
        <w:tc>
          <w:tcPr>
            <w:tcW w:w="3109" w:type="dxa"/>
            <w:tcBorders>
              <w:top w:val="single" w:color="auto" w:sz="4" w:space="0"/>
              <w:left w:val="single" w:color="000000" w:sz="4" w:space="0"/>
              <w:bottom w:val="single" w:color="auto" w:sz="4" w:space="0"/>
              <w:right w:val="single" w:color="auto" w:sz="4" w:space="0"/>
            </w:tcBorders>
            <w:shd w:val="clear" w:color="auto" w:fill="FFFFFF"/>
            <w:vAlign w:val="center"/>
          </w:tcPr>
          <w:p w14:paraId="2966C782">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指认定主体</w:t>
            </w:r>
            <w:r>
              <w:rPr>
                <w:rFonts w:ascii="Times New Roman" w:hAnsi="Times New Roman" w:eastAsia="仿宋_GB2312" w:cs="Times New Roman"/>
                <w:color w:val="000000"/>
                <w:sz w:val="24"/>
                <w:lang w:bidi="ar"/>
              </w:rPr>
              <w:t>在融资能力方面的数据体现</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2966C784">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val="en-US" w:eastAsia="zh-CN" w:bidi="ar"/>
              </w:rPr>
              <w:t>认定主体</w:t>
            </w:r>
            <w:r>
              <w:rPr>
                <w:rFonts w:ascii="Times New Roman" w:hAnsi="Times New Roman" w:eastAsia="仿宋_GB2312" w:cs="Times New Roman"/>
                <w:color w:val="000000"/>
                <w:sz w:val="24"/>
                <w:lang w:bidi="ar"/>
              </w:rPr>
              <w:t>自成立以来在市场上实际获得的股权类融资金额（不含银行贷款、债权融资及政府无偿补助资金）</w:t>
            </w:r>
            <w:r>
              <w:rPr>
                <w:rFonts w:hint="eastAsia" w:ascii="Times New Roman" w:hAnsi="Times New Roman" w:eastAsia="仿宋_GB2312" w:cs="Times New Roman"/>
                <w:color w:val="000000"/>
                <w:sz w:val="24"/>
                <w:lang w:eastAsia="zh-CN" w:bidi="ar"/>
              </w:rPr>
              <w:t>，</w:t>
            </w:r>
            <w:r>
              <w:rPr>
                <w:rFonts w:hint="eastAsia" w:ascii="Times New Roman" w:hAnsi="Times New Roman" w:eastAsia="仿宋_GB2312" w:cs="Times New Roman"/>
                <w:color w:val="000000"/>
                <w:sz w:val="24"/>
                <w:highlight w:val="yellow"/>
                <w:lang w:val="en-US" w:eastAsia="zh-CN" w:bidi="ar"/>
              </w:rPr>
              <w:t>累计融资金额1000万元以上。</w:t>
            </w:r>
          </w:p>
        </w:tc>
      </w:tr>
      <w:tr w14:paraId="2966C78B">
        <w:trPr>
          <w:trHeight w:val="650" w:hRule="atLeast"/>
        </w:trPr>
        <w:tc>
          <w:tcPr>
            <w:tcW w:w="714" w:type="dxa"/>
            <w:vMerge w:val="continue"/>
            <w:tcBorders>
              <w:top w:val="single" w:color="000000" w:sz="4" w:space="0"/>
              <w:left w:val="single" w:color="000000" w:sz="4" w:space="0"/>
              <w:bottom w:val="nil"/>
              <w:right w:val="single" w:color="auto" w:sz="4" w:space="0"/>
            </w:tcBorders>
            <w:shd w:val="clear" w:color="auto" w:fill="FFFFFF"/>
            <w:vAlign w:val="center"/>
          </w:tcPr>
          <w:p w14:paraId="2966C786">
            <w:pPr>
              <w:widowControl/>
              <w:spacing w:after="0" w:line="560" w:lineRule="exact"/>
              <w:jc w:val="center"/>
              <w:textAlignment w:val="center"/>
              <w:rPr>
                <w:rFonts w:ascii="Times New Roman" w:hAnsi="Times New Roman" w:eastAsia="仿宋_GB2312" w:cs="Times New Roman"/>
                <w:bCs/>
                <w:color w:val="000000"/>
                <w:sz w:val="24"/>
              </w:rPr>
            </w:pPr>
          </w:p>
        </w:tc>
        <w:tc>
          <w:tcPr>
            <w:tcW w:w="1305" w:type="dxa"/>
            <w:tcBorders>
              <w:top w:val="single" w:color="000000" w:sz="4" w:space="0"/>
              <w:left w:val="single" w:color="auto" w:sz="4" w:space="0"/>
              <w:bottom w:val="single" w:color="auto" w:sz="4" w:space="0"/>
              <w:right w:val="single" w:color="auto" w:sz="4" w:space="0"/>
            </w:tcBorders>
            <w:shd w:val="clear" w:color="auto" w:fill="FFFFFF"/>
            <w:vAlign w:val="center"/>
          </w:tcPr>
          <w:p w14:paraId="2966C787">
            <w:pPr>
              <w:widowControl/>
              <w:spacing w:after="0" w:line="560" w:lineRule="exact"/>
              <w:jc w:val="center"/>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营收规模</w:t>
            </w:r>
          </w:p>
        </w:tc>
        <w:tc>
          <w:tcPr>
            <w:tcW w:w="3109" w:type="dxa"/>
            <w:tcBorders>
              <w:top w:val="single" w:color="auto" w:sz="4" w:space="0"/>
              <w:left w:val="single" w:color="auto" w:sz="4" w:space="0"/>
              <w:bottom w:val="single" w:color="auto" w:sz="4" w:space="0"/>
              <w:right w:val="single" w:color="auto" w:sz="4" w:space="0"/>
            </w:tcBorders>
            <w:shd w:val="clear" w:color="auto" w:fill="FFFFFF"/>
            <w:vAlign w:val="center"/>
          </w:tcPr>
          <w:p w14:paraId="2966C788">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指认定主体</w:t>
            </w:r>
            <w:r>
              <w:rPr>
                <w:rFonts w:ascii="Times New Roman" w:hAnsi="Times New Roman" w:eastAsia="仿宋_GB2312" w:cs="Times New Roman"/>
                <w:color w:val="000000"/>
                <w:sz w:val="24"/>
                <w:lang w:bidi="ar"/>
              </w:rPr>
              <w:t>上一年度</w:t>
            </w:r>
            <w:r>
              <w:rPr>
                <w:rFonts w:hint="eastAsia" w:ascii="Times New Roman" w:hAnsi="Times New Roman" w:eastAsia="仿宋_GB2312" w:cs="Times New Roman"/>
                <w:color w:val="000000"/>
                <w:sz w:val="24"/>
                <w:lang w:bidi="ar"/>
              </w:rPr>
              <w:t>人工智能产品或服务</w:t>
            </w:r>
            <w:r>
              <w:rPr>
                <w:rFonts w:ascii="Times New Roman" w:hAnsi="Times New Roman" w:eastAsia="仿宋_GB2312" w:cs="Times New Roman"/>
                <w:color w:val="000000"/>
                <w:sz w:val="24"/>
                <w:lang w:bidi="ar"/>
              </w:rPr>
              <w:t>的</w:t>
            </w:r>
            <w:r>
              <w:rPr>
                <w:rFonts w:hint="eastAsia" w:ascii="Times New Roman" w:hAnsi="Times New Roman" w:eastAsia="仿宋_GB2312" w:cs="Times New Roman"/>
                <w:color w:val="000000"/>
                <w:sz w:val="24"/>
                <w:lang w:bidi="ar"/>
              </w:rPr>
              <w:t>业务收入占企业年收入总额的比例</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21DDB54B">
            <w:pPr>
              <w:widowControl/>
              <w:spacing w:after="0" w:line="560" w:lineRule="exact"/>
              <w:jc w:val="both"/>
              <w:textAlignment w:val="center"/>
              <w:rPr>
                <w:rFonts w:hint="eastAsia"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val="en-US" w:eastAsia="zh-CN" w:bidi="ar"/>
              </w:rPr>
              <w:t>认定主体</w:t>
            </w:r>
            <w:r>
              <w:rPr>
                <w:rFonts w:hint="eastAsia" w:ascii="Times New Roman" w:hAnsi="Times New Roman" w:eastAsia="仿宋_GB2312" w:cs="Times New Roman"/>
                <w:color w:val="000000"/>
                <w:sz w:val="24"/>
                <w:lang w:bidi="ar"/>
              </w:rPr>
              <w:t>人工智能产品或服务销售（营业）收入占企业年收入总额的比例应有所体现。</w:t>
            </w:r>
          </w:p>
          <w:p w14:paraId="2966C78A">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人工智能相关营业收入达到500万以上，或占比超过企业年收入总额30%。</w:t>
            </w:r>
          </w:p>
        </w:tc>
      </w:tr>
      <w:tr w14:paraId="2966C791">
        <w:trPr>
          <w:trHeight w:val="650" w:hRule="atLeast"/>
        </w:trPr>
        <w:tc>
          <w:tcPr>
            <w:tcW w:w="714" w:type="dxa"/>
            <w:vMerge w:val="continue"/>
            <w:tcBorders>
              <w:top w:val="nil"/>
              <w:left w:val="single" w:color="000000" w:sz="4" w:space="0"/>
              <w:bottom w:val="nil"/>
              <w:right w:val="single" w:color="auto" w:sz="4" w:space="0"/>
            </w:tcBorders>
            <w:shd w:val="clear" w:color="auto" w:fill="FFFFFF"/>
            <w:vAlign w:val="center"/>
          </w:tcPr>
          <w:p w14:paraId="2966C78C">
            <w:pPr>
              <w:widowControl/>
              <w:spacing w:after="0" w:line="560" w:lineRule="exact"/>
              <w:jc w:val="center"/>
              <w:textAlignment w:val="center"/>
              <w:rPr>
                <w:rFonts w:ascii="Times New Roman" w:hAnsi="Times New Roman" w:eastAsia="仿宋_GB2312" w:cs="Times New Roman"/>
                <w:bCs/>
                <w:color w:val="000000"/>
                <w:sz w:val="24"/>
              </w:rPr>
            </w:pP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14:paraId="2966C78D">
            <w:pPr>
              <w:widowControl/>
              <w:spacing w:after="0" w:line="560" w:lineRule="exact"/>
              <w:jc w:val="center"/>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研发投入</w:t>
            </w:r>
          </w:p>
        </w:tc>
        <w:tc>
          <w:tcPr>
            <w:tcW w:w="3109" w:type="dxa"/>
            <w:tcBorders>
              <w:top w:val="single" w:color="auto" w:sz="4" w:space="0"/>
              <w:left w:val="single" w:color="auto" w:sz="4" w:space="0"/>
              <w:bottom w:val="single" w:color="auto" w:sz="4" w:space="0"/>
              <w:right w:val="single" w:color="auto" w:sz="4" w:space="0"/>
            </w:tcBorders>
            <w:shd w:val="clear" w:color="auto" w:fill="FFFFFF"/>
            <w:vAlign w:val="center"/>
          </w:tcPr>
          <w:p w14:paraId="2966C78E">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指认定主体</w:t>
            </w:r>
            <w:r>
              <w:rPr>
                <w:rFonts w:ascii="Times New Roman" w:hAnsi="Times New Roman" w:eastAsia="仿宋_GB2312" w:cs="Times New Roman"/>
                <w:color w:val="000000"/>
                <w:sz w:val="24"/>
                <w:lang w:bidi="ar"/>
              </w:rPr>
              <w:t>上一年度在人工智能领域的研发经费投入金额，以及研发经费占当年营业收入的比例（R&amp;D）</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3AADEB60">
            <w:pPr>
              <w:widowControl/>
              <w:spacing w:after="0" w:line="560" w:lineRule="exact"/>
              <w:jc w:val="both"/>
              <w:textAlignment w:val="center"/>
              <w:rPr>
                <w:rFonts w:hint="eastAsia"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val="en-US" w:eastAsia="zh-CN" w:bidi="ar"/>
              </w:rPr>
              <w:t>认定主体</w:t>
            </w:r>
            <w:r>
              <w:rPr>
                <w:rFonts w:hint="eastAsia" w:ascii="Times New Roman" w:hAnsi="Times New Roman" w:eastAsia="仿宋_GB2312" w:cs="Times New Roman"/>
                <w:color w:val="000000"/>
                <w:sz w:val="24"/>
                <w:lang w:bidi="ar"/>
              </w:rPr>
              <w:t>应在人工智能领域的研发投入方面有所体现。</w:t>
            </w:r>
          </w:p>
          <w:p w14:paraId="2966C790">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人工智能领域研发投入年度超过500万，或者占总研发经费投入的30%以上。</w:t>
            </w:r>
          </w:p>
        </w:tc>
      </w:tr>
      <w:tr w14:paraId="2966C797">
        <w:trPr>
          <w:trHeight w:val="650" w:hRule="atLeast"/>
        </w:trPr>
        <w:tc>
          <w:tcPr>
            <w:tcW w:w="714" w:type="dxa"/>
            <w:vMerge w:val="continue"/>
            <w:tcBorders>
              <w:top w:val="nil"/>
              <w:left w:val="single" w:color="000000" w:sz="4" w:space="0"/>
              <w:bottom w:val="nil"/>
              <w:right w:val="single" w:color="auto" w:sz="4" w:space="0"/>
            </w:tcBorders>
            <w:shd w:val="clear" w:color="auto" w:fill="FFFFFF"/>
            <w:vAlign w:val="center"/>
          </w:tcPr>
          <w:p w14:paraId="2966C792">
            <w:pPr>
              <w:widowControl/>
              <w:spacing w:after="0" w:line="560" w:lineRule="exact"/>
              <w:jc w:val="center"/>
              <w:textAlignment w:val="center"/>
              <w:rPr>
                <w:rFonts w:ascii="Times New Roman" w:hAnsi="Times New Roman" w:eastAsia="仿宋_GB2312" w:cs="Times New Roman"/>
                <w:bCs/>
                <w:color w:val="000000"/>
                <w:sz w:val="24"/>
              </w:rPr>
            </w:pP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14:paraId="2966C793">
            <w:pPr>
              <w:widowControl/>
              <w:spacing w:after="0" w:line="560" w:lineRule="exact"/>
              <w:jc w:val="center"/>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知识产权</w:t>
            </w:r>
          </w:p>
        </w:tc>
        <w:tc>
          <w:tcPr>
            <w:tcW w:w="3109" w:type="dxa"/>
            <w:tcBorders>
              <w:top w:val="single" w:color="auto" w:sz="4" w:space="0"/>
              <w:left w:val="single" w:color="auto" w:sz="4" w:space="0"/>
              <w:bottom w:val="single" w:color="auto" w:sz="4" w:space="0"/>
              <w:right w:val="single" w:color="auto" w:sz="4" w:space="0"/>
            </w:tcBorders>
            <w:shd w:val="clear" w:color="auto" w:fill="FFFFFF"/>
            <w:vAlign w:val="center"/>
          </w:tcPr>
          <w:p w14:paraId="2966C794">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指认定主体</w:t>
            </w:r>
            <w:r>
              <w:rPr>
                <w:rFonts w:ascii="Times New Roman" w:hAnsi="Times New Roman" w:eastAsia="仿宋_GB2312" w:cs="Times New Roman"/>
                <w:color w:val="000000"/>
                <w:sz w:val="24"/>
                <w:lang w:bidi="ar"/>
              </w:rPr>
              <w:t>在人工智能领域拥有的核心自主知识产权及标准制定情况</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2966C796">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具有人工智能相关发明专利（包括PCT专利）、实用新型专利（包括外观专利）、软件著作权和各类标准规范编制方面的自主知识产权成果。</w:t>
            </w:r>
          </w:p>
        </w:tc>
      </w:tr>
      <w:tr w14:paraId="41A5D3FF">
        <w:trPr>
          <w:trHeight w:val="650" w:hRule="atLeast"/>
        </w:trPr>
        <w:tc>
          <w:tcPr>
            <w:tcW w:w="714" w:type="dxa"/>
            <w:tcBorders>
              <w:top w:val="nil"/>
              <w:left w:val="single" w:color="auto" w:sz="4" w:space="0"/>
              <w:bottom w:val="single" w:color="auto" w:sz="4" w:space="0"/>
              <w:right w:val="single" w:color="auto" w:sz="4" w:space="0"/>
            </w:tcBorders>
            <w:shd w:val="clear" w:color="auto" w:fill="FFFFFF"/>
            <w:vAlign w:val="center"/>
          </w:tcPr>
          <w:p w14:paraId="24933F5C">
            <w:pPr>
              <w:widowControl/>
              <w:spacing w:after="0" w:line="560" w:lineRule="exact"/>
              <w:jc w:val="center"/>
              <w:textAlignment w:val="center"/>
              <w:rPr>
                <w:rFonts w:ascii="Times New Roman" w:hAnsi="Times New Roman" w:eastAsia="仿宋_GB2312" w:cs="Times New Roman"/>
                <w:bCs/>
                <w:color w:val="000000"/>
                <w:sz w:val="24"/>
              </w:rPr>
            </w:pP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14:paraId="1D72208E">
            <w:pPr>
              <w:widowControl/>
              <w:spacing w:after="0" w:line="560" w:lineRule="exact"/>
              <w:jc w:val="center"/>
              <w:textAlignment w:val="center"/>
              <w:rPr>
                <w:rFonts w:hint="eastAsia"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专技人员状况</w:t>
            </w:r>
          </w:p>
        </w:tc>
        <w:tc>
          <w:tcPr>
            <w:tcW w:w="3109" w:type="dxa"/>
            <w:tcBorders>
              <w:top w:val="single" w:color="auto" w:sz="4" w:space="0"/>
              <w:left w:val="single" w:color="auto" w:sz="4" w:space="0"/>
              <w:bottom w:val="single" w:color="auto" w:sz="4" w:space="0"/>
              <w:right w:val="single" w:color="auto" w:sz="4" w:space="0"/>
            </w:tcBorders>
            <w:shd w:val="clear" w:color="auto" w:fill="FFFFFF"/>
            <w:vAlign w:val="center"/>
          </w:tcPr>
          <w:p w14:paraId="356D0C4B">
            <w:pPr>
              <w:widowControl/>
              <w:spacing w:after="0" w:line="560" w:lineRule="exact"/>
              <w:jc w:val="both"/>
              <w:textAlignment w:val="center"/>
              <w:rPr>
                <w:rFonts w:hint="eastAsia"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指认定主体一般专业技术人员总数或占比</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28747D44">
            <w:pPr>
              <w:widowControl/>
              <w:spacing w:after="0" w:line="560" w:lineRule="exact"/>
              <w:jc w:val="both"/>
              <w:textAlignment w:val="center"/>
              <w:rPr>
                <w:rFonts w:hint="eastAsia"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认定主体从事人工智能及其相关算法、硬件和应用研发内容工作的一般专业技术人员具备人工智能类的职业技能等级证书，包括人工智能训练师、数据标注员、人工智能算法测试员等职业技能等级证书的技术人员）达到10人以上，或占企业总人数比例超30%。</w:t>
            </w:r>
          </w:p>
        </w:tc>
      </w:tr>
    </w:tbl>
    <w:p w14:paraId="70979C9A">
      <w:pPr>
        <w:widowControl/>
        <w:spacing w:after="0" w:line="560" w:lineRule="exact"/>
        <w:jc w:val="center"/>
        <w:textAlignment w:val="center"/>
        <w:rPr>
          <w:rFonts w:ascii="Times New Roman" w:hAnsi="Times New Roman" w:eastAsia="仿宋_GB2312" w:cs="Times New Roman"/>
          <w:bCs/>
          <w:color w:val="000000"/>
          <w:sz w:val="24"/>
        </w:rPr>
        <w:sectPr>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2"/>
        <w:tblpPr w:leftFromText="181" w:rightFromText="181" w:vertAnchor="text" w:horzAnchor="page" w:tblpX="1537" w:tblpY="1"/>
        <w:tblOverlap w:val="never"/>
        <w:tblW w:w="13969" w:type="dxa"/>
        <w:tblInd w:w="0" w:type="dxa"/>
        <w:tblLayout w:type="fixed"/>
        <w:tblCellMar>
          <w:top w:w="0" w:type="dxa"/>
          <w:left w:w="108" w:type="dxa"/>
          <w:bottom w:w="0" w:type="dxa"/>
          <w:right w:w="108" w:type="dxa"/>
        </w:tblCellMar>
      </w:tblPr>
      <w:tblGrid>
        <w:gridCol w:w="714"/>
        <w:gridCol w:w="1305"/>
        <w:gridCol w:w="3109"/>
        <w:gridCol w:w="8841"/>
      </w:tblGrid>
      <w:tr w14:paraId="2966C7A5">
        <w:trPr>
          <w:trHeight w:val="500" w:hRule="atLeast"/>
        </w:trPr>
        <w:tc>
          <w:tcPr>
            <w:tcW w:w="7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66C79E">
            <w:pPr>
              <w:spacing w:after="0" w:line="560" w:lineRule="exact"/>
              <w:rPr>
                <w:rFonts w:ascii="Times New Roman" w:hAnsi="Times New Roman" w:eastAsia="宋体" w:cs="Times New Roman"/>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6C79F">
            <w:pPr>
              <w:widowControl/>
              <w:spacing w:after="0" w:line="560" w:lineRule="exact"/>
              <w:jc w:val="center"/>
              <w:textAlignment w:val="center"/>
              <w:rPr>
                <w:rFonts w:hint="default" w:ascii="Times New Roman" w:hAnsi="Times New Roman" w:eastAsia="仿宋_GB2312" w:cs="Times New Roman"/>
                <w:color w:val="000000"/>
                <w:sz w:val="24"/>
                <w:lang w:val="en-US"/>
              </w:rPr>
            </w:pPr>
            <w:r>
              <w:rPr>
                <w:rFonts w:hint="eastAsia" w:ascii="Times New Roman" w:hAnsi="Times New Roman" w:eastAsia="仿宋_GB2312" w:cs="Times New Roman"/>
                <w:color w:val="000000"/>
                <w:sz w:val="24"/>
                <w:lang w:val="en-US" w:eastAsia="zh-CN" w:bidi="ar"/>
              </w:rPr>
              <w:t>企业荣获荣誉</w:t>
            </w:r>
          </w:p>
        </w:tc>
        <w:tc>
          <w:tcPr>
            <w:tcW w:w="3109" w:type="dxa"/>
            <w:tcBorders>
              <w:top w:val="single" w:color="auto" w:sz="4" w:space="0"/>
              <w:left w:val="single" w:color="000000" w:sz="4" w:space="0"/>
              <w:bottom w:val="single" w:color="auto" w:sz="4" w:space="0"/>
              <w:right w:val="single" w:color="auto" w:sz="4" w:space="0"/>
            </w:tcBorders>
            <w:shd w:val="clear" w:color="auto" w:fill="FFFFFF"/>
            <w:vAlign w:val="center"/>
          </w:tcPr>
          <w:p w14:paraId="2966C7A0">
            <w:pPr>
              <w:widowControl/>
              <w:spacing w:after="0" w:line="560" w:lineRule="exact"/>
              <w:jc w:val="both"/>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lang w:bidi="ar"/>
              </w:rPr>
              <w:t>指</w:t>
            </w:r>
            <w:r>
              <w:rPr>
                <w:rFonts w:hint="eastAsia" w:ascii="Times New Roman" w:hAnsi="Times New Roman" w:eastAsia="仿宋_GB2312" w:cs="Times New Roman"/>
                <w:color w:val="000000"/>
                <w:sz w:val="24"/>
                <w:lang w:bidi="ar"/>
              </w:rPr>
              <w:t>认定主体</w:t>
            </w:r>
            <w:r>
              <w:rPr>
                <w:rFonts w:ascii="Times New Roman" w:hAnsi="Times New Roman" w:eastAsia="仿宋_GB2312" w:cs="Times New Roman"/>
                <w:color w:val="000000"/>
                <w:sz w:val="24"/>
                <w:lang w:bidi="ar"/>
              </w:rPr>
              <w:t>近三年在人工智能领域获得的奖项、资质认定及重大课题</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2966C7A4">
            <w:pPr>
              <w:widowControl/>
              <w:spacing w:after="0" w:line="560" w:lineRule="exact"/>
              <w:jc w:val="both"/>
              <w:textAlignment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奖项包括国际级奖项、国家级奖项、省市级奖项、各类产业奖项。重大课题包括国家级、省部级和市级重大课题攻关项目、人工智能专项、人工智能应用场景等。</w:t>
            </w:r>
          </w:p>
        </w:tc>
      </w:tr>
      <w:tr w14:paraId="2E6A8824">
        <w:trPr>
          <w:trHeight w:val="500" w:hRule="atLeast"/>
        </w:trPr>
        <w:tc>
          <w:tcPr>
            <w:tcW w:w="714" w:type="dxa"/>
            <w:vMerge w:val="continue"/>
            <w:tcBorders>
              <w:top w:val="single" w:color="000000" w:sz="4" w:space="0"/>
              <w:left w:val="single" w:color="000000" w:sz="4" w:space="0"/>
              <w:right w:val="single" w:color="auto" w:sz="4" w:space="0"/>
            </w:tcBorders>
            <w:shd w:val="clear" w:color="auto" w:fill="FFFFFF"/>
            <w:vAlign w:val="center"/>
          </w:tcPr>
          <w:p w14:paraId="501DF065">
            <w:pPr>
              <w:spacing w:after="0" w:line="560" w:lineRule="exact"/>
              <w:rPr>
                <w:rFonts w:ascii="Times New Roman" w:hAnsi="Times New Roman" w:eastAsia="宋体" w:cs="Times New Roman"/>
                <w:sz w:val="20"/>
                <w:szCs w:val="20"/>
              </w:rPr>
            </w:pPr>
          </w:p>
        </w:tc>
        <w:tc>
          <w:tcPr>
            <w:tcW w:w="1305" w:type="dxa"/>
            <w:tcBorders>
              <w:top w:val="single" w:color="000000" w:sz="4" w:space="0"/>
              <w:left w:val="nil"/>
              <w:bottom w:val="single" w:color="auto" w:sz="4" w:space="0"/>
              <w:right w:val="single" w:color="auto" w:sz="4" w:space="0"/>
            </w:tcBorders>
            <w:shd w:val="clear" w:color="auto" w:fill="FFFFFF"/>
            <w:vAlign w:val="center"/>
          </w:tcPr>
          <w:p w14:paraId="4F35112F">
            <w:pPr>
              <w:widowControl/>
              <w:spacing w:after="0" w:line="560" w:lineRule="exact"/>
              <w:jc w:val="center"/>
              <w:textAlignment w:val="center"/>
              <w:rPr>
                <w:rFonts w:hint="default" w:ascii="Times New Roman" w:hAnsi="Times New Roman" w:eastAsia="仿宋_GB2312" w:cs="Times New Roman"/>
                <w:color w:val="000000"/>
                <w:sz w:val="24"/>
                <w:lang w:val="en-US" w:eastAsia="zh-CN" w:bidi="ar"/>
              </w:rPr>
            </w:pPr>
            <w:r>
              <w:rPr>
                <w:rFonts w:hint="eastAsia" w:ascii="Times New Roman" w:hAnsi="Times New Roman" w:eastAsia="仿宋_GB2312" w:cs="Times New Roman"/>
                <w:color w:val="000000"/>
                <w:sz w:val="24"/>
                <w:lang w:val="en-US" w:eastAsia="zh-CN" w:bidi="ar"/>
              </w:rPr>
              <w:t>购买智算算力服务</w:t>
            </w:r>
          </w:p>
        </w:tc>
        <w:tc>
          <w:tcPr>
            <w:tcW w:w="3109" w:type="dxa"/>
            <w:tcBorders>
              <w:top w:val="single" w:color="auto" w:sz="4" w:space="0"/>
              <w:left w:val="nil"/>
              <w:bottom w:val="single" w:color="auto" w:sz="4" w:space="0"/>
              <w:right w:val="single" w:color="auto" w:sz="4" w:space="0"/>
            </w:tcBorders>
            <w:shd w:val="clear" w:color="auto" w:fill="FFFFFF"/>
            <w:vAlign w:val="center"/>
          </w:tcPr>
          <w:p w14:paraId="15A531B7">
            <w:pPr>
              <w:widowControl/>
              <w:spacing w:after="0" w:line="560" w:lineRule="exact"/>
              <w:jc w:val="both"/>
              <w:textAlignment w:val="center"/>
              <w:rPr>
                <w:rFonts w:hint="default" w:ascii="Times New Roman" w:hAnsi="Times New Roman" w:eastAsia="仿宋_GB2312" w:cs="Times New Roman"/>
                <w:color w:val="000000"/>
                <w:sz w:val="24"/>
                <w:lang w:val="en-US" w:eastAsia="zh-CN" w:bidi="ar"/>
              </w:rPr>
            </w:pPr>
            <w:r>
              <w:rPr>
                <w:rFonts w:hint="eastAsia" w:ascii="Times New Roman" w:hAnsi="Times New Roman" w:eastAsia="仿宋_GB2312" w:cs="Times New Roman"/>
                <w:color w:val="000000"/>
                <w:sz w:val="24"/>
                <w:lang w:val="en-US" w:eastAsia="zh-CN" w:bidi="ar"/>
              </w:rPr>
              <w:t>指认定主体租用或购买并使用算力服务</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0B26189B">
            <w:pPr>
              <w:widowControl/>
              <w:spacing w:after="0" w:line="560" w:lineRule="exact"/>
              <w:jc w:val="both"/>
              <w:textAlignment w:val="center"/>
              <w:rPr>
                <w:rFonts w:hint="default" w:ascii="Times New Roman" w:hAnsi="Times New Roman" w:eastAsia="仿宋_GB2312" w:cs="Times New Roman"/>
                <w:b/>
                <w:bCs/>
                <w:color w:val="000000"/>
                <w:sz w:val="24"/>
                <w:lang w:val="en-US" w:eastAsia="zh-CN" w:bidi="ar"/>
              </w:rPr>
            </w:pPr>
            <w:r>
              <w:rPr>
                <w:rFonts w:hint="eastAsia" w:ascii="Times New Roman" w:hAnsi="Times New Roman" w:eastAsia="仿宋_GB2312" w:cs="Times New Roman"/>
                <w:b w:val="0"/>
                <w:bCs w:val="0"/>
                <w:color w:val="000000"/>
                <w:sz w:val="24"/>
                <w:lang w:val="en-US" w:eastAsia="zh-CN" w:bidi="ar"/>
              </w:rPr>
              <w:t>认定主体租用或购买并自用智算中心算力服务进行模型训练的。</w:t>
            </w:r>
          </w:p>
        </w:tc>
      </w:tr>
      <w:tr w14:paraId="2966C7AA">
        <w:trPr>
          <w:trHeight w:val="600" w:hRule="atLeast"/>
        </w:trPr>
        <w:tc>
          <w:tcPr>
            <w:tcW w:w="714" w:type="dxa"/>
            <w:vMerge w:val="continue"/>
            <w:tcBorders>
              <w:left w:val="single" w:color="000000" w:sz="4" w:space="0"/>
              <w:bottom w:val="single" w:color="auto" w:sz="4" w:space="0"/>
              <w:right w:val="single" w:color="auto" w:sz="4" w:space="0"/>
            </w:tcBorders>
            <w:shd w:val="clear" w:color="auto" w:fill="FFFFFF"/>
            <w:vAlign w:val="center"/>
          </w:tcPr>
          <w:p w14:paraId="036DFA32">
            <w:pPr>
              <w:spacing w:after="0" w:line="560" w:lineRule="exact"/>
              <w:rPr>
                <w:rFonts w:ascii="Times New Roman" w:hAnsi="Times New Roman" w:eastAsia="宋体" w:cs="Times New Roman"/>
                <w:sz w:val="20"/>
                <w:szCs w:val="20"/>
              </w:rPr>
            </w:pPr>
          </w:p>
        </w:tc>
        <w:tc>
          <w:tcPr>
            <w:tcW w:w="1305" w:type="dxa"/>
            <w:tcBorders>
              <w:top w:val="single" w:color="auto" w:sz="4" w:space="0"/>
              <w:left w:val="nil"/>
              <w:bottom w:val="single" w:color="auto" w:sz="4" w:space="0"/>
              <w:right w:val="single" w:color="auto" w:sz="4" w:space="0"/>
            </w:tcBorders>
            <w:shd w:val="clear" w:color="auto" w:fill="FFFFFF"/>
            <w:vAlign w:val="center"/>
          </w:tcPr>
          <w:p w14:paraId="2966C7A7">
            <w:pPr>
              <w:widowControl/>
              <w:spacing w:after="0" w:line="560" w:lineRule="exact"/>
              <w:jc w:val="center"/>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其他条件</w:t>
            </w:r>
          </w:p>
        </w:tc>
        <w:tc>
          <w:tcPr>
            <w:tcW w:w="3109" w:type="dxa"/>
            <w:tcBorders>
              <w:top w:val="single" w:color="auto" w:sz="4" w:space="0"/>
              <w:left w:val="nil"/>
              <w:bottom w:val="single" w:color="auto" w:sz="4" w:space="0"/>
              <w:right w:val="single" w:color="auto" w:sz="4" w:space="0"/>
            </w:tcBorders>
            <w:shd w:val="clear" w:color="auto" w:fill="FFFFFF"/>
            <w:vAlign w:val="center"/>
          </w:tcPr>
          <w:p w14:paraId="2966C7A8">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bidi="ar"/>
              </w:rPr>
              <w:t>认定主体其他某单项指标突出</w:t>
            </w:r>
          </w:p>
        </w:tc>
        <w:tc>
          <w:tcPr>
            <w:tcW w:w="8841" w:type="dxa"/>
            <w:tcBorders>
              <w:top w:val="single" w:color="auto" w:sz="4" w:space="0"/>
              <w:left w:val="nil"/>
              <w:bottom w:val="single" w:color="auto" w:sz="4" w:space="0"/>
              <w:right w:val="single" w:color="auto" w:sz="4" w:space="0"/>
            </w:tcBorders>
            <w:shd w:val="clear" w:color="auto" w:fill="FFFFFF"/>
            <w:vAlign w:val="center"/>
          </w:tcPr>
          <w:p w14:paraId="2966C7A9">
            <w:pPr>
              <w:widowControl/>
              <w:spacing w:after="0" w:line="560" w:lineRule="exact"/>
              <w:jc w:val="both"/>
              <w:textAlignment w:val="center"/>
              <w:rPr>
                <w:rFonts w:ascii="Times New Roman" w:hAnsi="Times New Roman" w:eastAsia="仿宋_GB2312" w:cs="Times New Roman"/>
                <w:color w:val="000000"/>
                <w:sz w:val="24"/>
                <w:lang w:bidi="ar"/>
              </w:rPr>
            </w:pPr>
            <w:r>
              <w:rPr>
                <w:rFonts w:hint="eastAsia" w:ascii="Times New Roman" w:hAnsi="Times New Roman" w:eastAsia="仿宋_GB2312" w:cs="Times New Roman"/>
                <w:color w:val="000000"/>
                <w:sz w:val="24"/>
                <w:lang w:val="en-US" w:eastAsia="zh-CN" w:bidi="ar"/>
              </w:rPr>
              <w:t>认定主体</w:t>
            </w:r>
            <w:r>
              <w:rPr>
                <w:rFonts w:ascii="Times New Roman" w:hAnsi="Times New Roman" w:eastAsia="仿宋_GB2312" w:cs="Times New Roman"/>
                <w:color w:val="000000"/>
                <w:sz w:val="24"/>
                <w:lang w:bidi="ar"/>
              </w:rPr>
              <w:t>其他单项指标突出，符合适用主体的，经工作流程认定后予以奖励。</w:t>
            </w:r>
          </w:p>
        </w:tc>
      </w:tr>
    </w:tbl>
    <w:p w14:paraId="02DE8283"/>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833F1618"/>
    <w:rsid w:val="833F1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cs="仿宋_GB2312" w:asciiTheme="minorHAnsi" w:hAnsiTheme="minorHAnsi" w:eastAsiaTheme="minorEastAsia"/>
      <w:kern w:val="2"/>
      <w:sz w:val="32"/>
      <w:szCs w:val="24"/>
      <w:lang w:val="en-US" w:eastAsia="zh-CN" w:bidi="ar-SA"/>
      <w14:ligatures w14:val="standardContextual"/>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2026-07-31T11:19:00Z</dcterms:created>
  <dc:creator>凌晨四点</dc:creator>
  <cp:lastModifiedBy>凌晨四点</cp:lastModifiedBy>
  <dcterms:modified xsi:type="dcterms:W3CDTF">2026-07-31T11:24:32Z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74C79199D111B2BC5A146C6AF4474A9E_41</vt:lpwstr>
  </property>
</Properties>
</file>